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E6" w:rsidRDefault="001E0846">
      <w:pPr>
        <w:jc w:val="center"/>
        <w:rPr>
          <w:rFonts w:ascii="標楷體" w:eastAsia="標楷體" w:hAnsi="標楷體"/>
          <w:color w:val="000000"/>
          <w:sz w:val="28"/>
        </w:rPr>
      </w:pPr>
      <w:r>
        <w:rPr>
          <w:rFonts w:ascii="標楷體" w:eastAsia="標楷體" w:hAnsi="標楷體"/>
          <w:color w:val="000000"/>
          <w:sz w:val="28"/>
        </w:rPr>
        <w:t>押標金連帶保證保險單</w:t>
      </w:r>
    </w:p>
    <w:p w:rsidR="006A2CE6" w:rsidRDefault="001E0846" w:rsidP="003615D9">
      <w:r>
        <w:rPr>
          <w:rFonts w:ascii="標楷體" w:eastAsia="標楷體" w:hAnsi="標楷體"/>
          <w:color w:val="000000"/>
        </w:rPr>
        <w:t xml:space="preserve">保險人 </w:t>
      </w:r>
      <w:r w:rsidRPr="003615D9">
        <w:rPr>
          <w:rFonts w:ascii="標楷體" w:eastAsia="標楷體" w:hAnsi="標楷體"/>
          <w:color w:val="000000"/>
          <w:u w:val="single"/>
        </w:rPr>
        <w:t xml:space="preserve">               </w:t>
      </w:r>
      <w:r>
        <w:rPr>
          <w:rFonts w:ascii="標楷體" w:eastAsia="標楷體" w:hAnsi="標楷體"/>
          <w:color w:val="000000"/>
        </w:rPr>
        <w:t xml:space="preserve"> (以下簡稱本公司)</w:t>
      </w:r>
      <w:r>
        <w:rPr>
          <w:rFonts w:ascii="標楷體" w:eastAsia="標楷體" w:hAnsi="標楷體"/>
        </w:rPr>
        <w:t>因</w:t>
      </w:r>
      <w:r w:rsidR="003615D9" w:rsidRPr="003615D9">
        <w:rPr>
          <w:rFonts w:ascii="標楷體" w:eastAsia="標楷體" w:hAnsi="標楷體"/>
          <w:color w:val="000000"/>
          <w:u w:val="single"/>
        </w:rPr>
        <w:t xml:space="preserve">               </w:t>
      </w:r>
      <w:r w:rsidR="003615D9">
        <w:rPr>
          <w:rFonts w:ascii="標楷體" w:eastAsia="標楷體" w:hAnsi="標楷體"/>
          <w:color w:val="000000"/>
          <w:u w:val="single"/>
        </w:rPr>
        <w:t xml:space="preserve">          </w:t>
      </w:r>
      <w:r>
        <w:rPr>
          <w:rFonts w:ascii="標楷體" w:eastAsia="標楷體" w:hAnsi="標楷體"/>
        </w:rPr>
        <w:t>(以下簡稱投標人)</w:t>
      </w:r>
      <w:r w:rsidR="003D01CA">
        <w:rPr>
          <w:rFonts w:ascii="標楷體" w:eastAsia="標楷體" w:hAnsi="標楷體"/>
        </w:rPr>
        <w:t>參加後開</w:t>
      </w:r>
      <w:r w:rsidR="003D01CA" w:rsidRPr="003D01CA">
        <w:rPr>
          <w:rFonts w:ascii="標楷體" w:eastAsia="標楷體" w:hAnsi="標楷體" w:hint="eastAsia"/>
          <w:highlight w:val="yellow"/>
        </w:rPr>
        <w:t>臺北市</w:t>
      </w:r>
      <w:r w:rsidR="00083837">
        <w:rPr>
          <w:rFonts w:ascii="標楷體" w:eastAsia="標楷體" w:hAnsi="標楷體" w:hint="eastAsia"/>
          <w:highlight w:val="yellow"/>
        </w:rPr>
        <w:t>立明倫高級中學</w:t>
      </w:r>
      <w:r>
        <w:rPr>
          <w:rFonts w:ascii="標楷體" w:eastAsia="標楷體" w:hAnsi="標楷體"/>
        </w:rPr>
        <w:t>之</w:t>
      </w:r>
      <w:r w:rsidR="003D01CA">
        <w:rPr>
          <w:rFonts w:ascii="標楷體" w:eastAsia="標楷體" w:hAnsi="標楷體"/>
          <w:color w:val="FF0000"/>
          <w:shd w:val="clear" w:color="auto" w:fill="FFFFFF"/>
        </w:rPr>
        <w:t>11</w:t>
      </w:r>
      <w:r w:rsidR="006A7764">
        <w:rPr>
          <w:rFonts w:ascii="標楷體" w:eastAsia="標楷體" w:hAnsi="標楷體"/>
          <w:color w:val="FF0000"/>
          <w:shd w:val="clear" w:color="auto" w:fill="FFFFFF"/>
        </w:rPr>
        <w:t>2</w:t>
      </w:r>
      <w:bookmarkStart w:id="0" w:name="_GoBack"/>
      <w:bookmarkEnd w:id="0"/>
      <w:r>
        <w:rPr>
          <w:rFonts w:ascii="標楷體" w:eastAsia="標楷體" w:hAnsi="標楷體"/>
          <w:color w:val="FF0000"/>
          <w:shd w:val="clear" w:color="auto" w:fill="FFFFFF"/>
        </w:rPr>
        <w:t>年臺北市市有公用房地提供設置太陽光電公民電廠招標案</w:t>
      </w:r>
      <w:r>
        <w:rPr>
          <w:rFonts w:ascii="標楷體" w:eastAsia="標楷體" w:hAnsi="標楷體"/>
        </w:rPr>
        <w:t>(以下簡稱使用案)投標，與要保人訂立押標金連帶保證保險契約，特立本保險單存證。</w:t>
      </w:r>
    </w:p>
    <w:tbl>
      <w:tblPr>
        <w:tblW w:w="9388" w:type="dxa"/>
        <w:tblLayout w:type="fixed"/>
        <w:tblCellMar>
          <w:left w:w="10" w:type="dxa"/>
          <w:right w:w="10" w:type="dxa"/>
        </w:tblCellMar>
        <w:tblLook w:val="0000" w:firstRow="0" w:lastRow="0" w:firstColumn="0" w:lastColumn="0" w:noHBand="0" w:noVBand="0"/>
      </w:tblPr>
      <w:tblGrid>
        <w:gridCol w:w="1108"/>
        <w:gridCol w:w="3060"/>
        <w:gridCol w:w="1080"/>
        <w:gridCol w:w="540"/>
        <w:gridCol w:w="1080"/>
        <w:gridCol w:w="2520"/>
      </w:tblGrid>
      <w:tr w:rsidR="006A2CE6">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spacing w:val="-20"/>
              </w:rPr>
            </w:pPr>
            <w:r>
              <w:rPr>
                <w:rFonts w:ascii="標楷體" w:eastAsia="標楷體" w:hAnsi="標楷體"/>
                <w:color w:val="000000"/>
                <w:spacing w:val="-20"/>
              </w:rPr>
              <w:t>保險單號碼</w:t>
            </w:r>
          </w:p>
        </w:tc>
        <w:tc>
          <w:tcPr>
            <w:tcW w:w="46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 xml:space="preserve">        字第         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rPr>
            </w:pPr>
            <w:r>
              <w:rPr>
                <w:rFonts w:ascii="標楷體" w:eastAsia="標楷體" w:hAnsi="標楷體"/>
                <w:color w:val="000000"/>
              </w:rPr>
              <w:t>險別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rPr>
            </w:pPr>
            <w:r>
              <w:rPr>
                <w:rFonts w:ascii="標楷體" w:eastAsia="標楷體" w:hAnsi="標楷體"/>
                <w:color w:val="000000"/>
              </w:rPr>
              <w:t>保單性質</w:t>
            </w:r>
          </w:p>
        </w:tc>
      </w:tr>
      <w:tr w:rsidR="006A2CE6">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6A2CE6">
            <w:pPr>
              <w:rPr>
                <w:rFonts w:ascii="標楷體" w:eastAsia="標楷體" w:hAnsi="標楷體"/>
                <w:color w:val="000000"/>
              </w:rPr>
            </w:pPr>
          </w:p>
        </w:tc>
        <w:tc>
          <w:tcPr>
            <w:tcW w:w="468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6A2CE6">
            <w:pPr>
              <w:jc w:val="both"/>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6A2CE6">
            <w:pPr>
              <w:jc w:val="both"/>
              <w:rPr>
                <w:rFonts w:ascii="標楷體" w:eastAsia="標楷體" w:hAnsi="標楷體"/>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6A2CE6">
            <w:pPr>
              <w:jc w:val="both"/>
              <w:rPr>
                <w:rFonts w:ascii="標楷體" w:eastAsia="標楷體" w:hAnsi="標楷體"/>
                <w:color w:val="000000"/>
              </w:rPr>
            </w:pPr>
          </w:p>
        </w:tc>
      </w:tr>
      <w:tr w:rsidR="006A2CE6">
        <w:trPr>
          <w:cantSplit/>
          <w:trHeight w:val="597"/>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rPr>
            </w:pPr>
            <w:r>
              <w:rPr>
                <w:rFonts w:ascii="標楷體" w:eastAsia="標楷體" w:hAnsi="標楷體"/>
                <w:color w:val="000000"/>
              </w:rPr>
              <w:t>要保人</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6A2CE6">
            <w:pPr>
              <w:jc w:val="both"/>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rPr>
            </w:pPr>
            <w:r>
              <w:rPr>
                <w:rFonts w:ascii="標楷體" w:eastAsia="標楷體" w:hAnsi="標楷體"/>
                <w:color w:val="000000"/>
              </w:rPr>
              <w:t>住所</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6A2CE6">
            <w:pPr>
              <w:jc w:val="both"/>
              <w:rPr>
                <w:rFonts w:ascii="標楷體" w:eastAsia="標楷體" w:hAnsi="標楷體"/>
                <w:color w:val="000000"/>
              </w:rPr>
            </w:pPr>
          </w:p>
        </w:tc>
      </w:tr>
      <w:tr w:rsidR="006A2CE6">
        <w:trPr>
          <w:cantSplit/>
          <w:trHeight w:val="82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rPr>
            </w:pPr>
            <w:r>
              <w:rPr>
                <w:rFonts w:ascii="標楷體" w:eastAsia="標楷體" w:hAnsi="標楷體"/>
                <w:color w:val="000000"/>
              </w:rPr>
              <w:t>被保險人</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083837">
            <w:pPr>
              <w:ind w:right="600"/>
              <w:rPr>
                <w:rFonts w:ascii="標楷體" w:eastAsia="標楷體" w:hAnsi="標楷體"/>
                <w:color w:val="000000"/>
              </w:rPr>
            </w:pPr>
            <w:r w:rsidRPr="003D01CA">
              <w:rPr>
                <w:rFonts w:ascii="標楷體" w:eastAsia="標楷體" w:hAnsi="標楷體" w:hint="eastAsia"/>
                <w:highlight w:val="yellow"/>
              </w:rPr>
              <w:t>臺北市</w:t>
            </w:r>
            <w:r>
              <w:rPr>
                <w:rFonts w:ascii="標楷體" w:eastAsia="標楷體" w:hAnsi="標楷體" w:hint="eastAsia"/>
                <w:highlight w:val="yellow"/>
              </w:rPr>
              <w:t>立明倫高級中學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rPr>
                <w:rFonts w:ascii="標楷體" w:eastAsia="標楷體" w:hAnsi="標楷體"/>
                <w:color w:val="000000"/>
              </w:rPr>
            </w:pPr>
            <w:r>
              <w:rPr>
                <w:rFonts w:ascii="標楷體" w:eastAsia="標楷體" w:hAnsi="標楷體"/>
                <w:color w:val="000000"/>
              </w:rPr>
              <w:t>住所</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rsidP="00083837">
            <w:pPr>
              <w:jc w:val="both"/>
              <w:rPr>
                <w:rFonts w:ascii="標楷體" w:eastAsia="標楷體" w:hAnsi="標楷體"/>
                <w:color w:val="000000"/>
              </w:rPr>
            </w:pPr>
            <w:r w:rsidRPr="003D01CA">
              <w:rPr>
                <w:rFonts w:ascii="標楷體" w:eastAsia="標楷體" w:hAnsi="標楷體"/>
                <w:color w:val="000000"/>
                <w:highlight w:val="yellow"/>
              </w:rPr>
              <w:t>臺北市</w:t>
            </w:r>
            <w:r w:rsidR="00083837">
              <w:rPr>
                <w:rFonts w:ascii="標楷體" w:eastAsia="標楷體" w:hAnsi="標楷體" w:hint="eastAsia"/>
                <w:color w:val="000000"/>
                <w:highlight w:val="yellow"/>
              </w:rPr>
              <w:t>大同區承德</w:t>
            </w:r>
            <w:r w:rsidRPr="003D01CA">
              <w:rPr>
                <w:rFonts w:ascii="標楷體" w:eastAsia="標楷體" w:hAnsi="標楷體"/>
                <w:color w:val="000000"/>
                <w:highlight w:val="yellow"/>
              </w:rPr>
              <w:t>路</w:t>
            </w:r>
            <w:r w:rsidR="00083837">
              <w:rPr>
                <w:rFonts w:ascii="標楷體" w:eastAsia="標楷體" w:hAnsi="標楷體" w:hint="eastAsia"/>
                <w:color w:val="000000"/>
                <w:highlight w:val="yellow"/>
              </w:rPr>
              <w:t>3段336號</w:t>
            </w:r>
          </w:p>
        </w:tc>
      </w:tr>
      <w:tr w:rsidR="006A2CE6">
        <w:trPr>
          <w:cantSplit/>
          <w:trHeight w:val="1054"/>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案號及名稱</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3D01CA" w:rsidP="006A7764">
            <w:pPr>
              <w:jc w:val="both"/>
            </w:pPr>
            <w:r>
              <w:rPr>
                <w:rFonts w:ascii="標楷體" w:eastAsia="標楷體" w:hAnsi="標楷體"/>
                <w:color w:val="FF0000"/>
                <w:shd w:val="clear" w:color="auto" w:fill="FFFFFF"/>
              </w:rPr>
              <w:t>11</w:t>
            </w:r>
            <w:r w:rsidR="006A7764">
              <w:rPr>
                <w:rFonts w:ascii="標楷體" w:eastAsia="標楷體" w:hAnsi="標楷體"/>
                <w:color w:val="FF0000"/>
                <w:shd w:val="clear" w:color="auto" w:fill="FFFFFF"/>
              </w:rPr>
              <w:t>2</w:t>
            </w:r>
            <w:r w:rsidR="001E0846">
              <w:rPr>
                <w:rFonts w:ascii="標楷體" w:eastAsia="標楷體" w:hAnsi="標楷體"/>
                <w:color w:val="FF0000"/>
                <w:shd w:val="clear" w:color="auto" w:fill="FFFFFF"/>
              </w:rPr>
              <w:t>年臺北市市有公用房地提供設置太陽光電公民電廠招標案</w:t>
            </w:r>
          </w:p>
        </w:tc>
      </w:tr>
      <w:tr w:rsidR="006A2CE6">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保險期間</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依照保險單條款第3條規定辦理</w:t>
            </w:r>
          </w:p>
        </w:tc>
      </w:tr>
      <w:tr w:rsidR="006A2CE6">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保險金額</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新臺幣</w:t>
            </w:r>
          </w:p>
        </w:tc>
      </w:tr>
      <w:tr w:rsidR="006A2CE6">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保險費</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2CE6" w:rsidRDefault="001E0846">
            <w:pPr>
              <w:jc w:val="both"/>
              <w:rPr>
                <w:rFonts w:ascii="標楷體" w:eastAsia="標楷體" w:hAnsi="標楷體"/>
                <w:color w:val="000000"/>
              </w:rPr>
            </w:pPr>
            <w:r>
              <w:rPr>
                <w:rFonts w:ascii="標楷體" w:eastAsia="標楷體" w:hAnsi="標楷體"/>
                <w:color w:val="000000"/>
              </w:rPr>
              <w:t>新臺幣</w:t>
            </w:r>
          </w:p>
        </w:tc>
      </w:tr>
    </w:tbl>
    <w:p w:rsidR="006A2CE6" w:rsidRDefault="006A2CE6">
      <w:pPr>
        <w:jc w:val="both"/>
        <w:rPr>
          <w:rFonts w:ascii="標楷體" w:eastAsia="標楷體" w:hAnsi="標楷體"/>
          <w:color w:val="000000"/>
        </w:rPr>
      </w:pPr>
    </w:p>
    <w:p w:rsidR="006A2CE6" w:rsidRDefault="001E0846">
      <w:pPr>
        <w:jc w:val="both"/>
        <w:rPr>
          <w:rFonts w:ascii="標楷體" w:eastAsia="標楷體" w:hAnsi="標楷體"/>
          <w:color w:val="000000"/>
        </w:rPr>
      </w:pPr>
      <w:r>
        <w:rPr>
          <w:rFonts w:ascii="標楷體" w:eastAsia="標楷體" w:hAnsi="標楷體"/>
          <w:color w:val="000000"/>
        </w:rPr>
        <w:t>注意：</w:t>
      </w:r>
    </w:p>
    <w:p w:rsidR="006A2CE6" w:rsidRDefault="001E0846">
      <w:pPr>
        <w:numPr>
          <w:ilvl w:val="0"/>
          <w:numId w:val="1"/>
        </w:numPr>
        <w:jc w:val="both"/>
        <w:rPr>
          <w:rFonts w:ascii="標楷體" w:eastAsia="標楷體" w:hAnsi="標楷體"/>
          <w:color w:val="000000"/>
        </w:rPr>
      </w:pPr>
      <w:r>
        <w:rPr>
          <w:rFonts w:ascii="標楷體" w:eastAsia="標楷體" w:hAnsi="標楷體"/>
          <w:color w:val="000000"/>
        </w:rPr>
        <w:t>本保險單須蓋有本公司印信，並經總經理及副署人簽章始生效力。</w:t>
      </w:r>
    </w:p>
    <w:p w:rsidR="006A2CE6" w:rsidRDefault="001E0846">
      <w:pPr>
        <w:numPr>
          <w:ilvl w:val="0"/>
          <w:numId w:val="1"/>
        </w:numPr>
        <w:jc w:val="both"/>
        <w:rPr>
          <w:rFonts w:ascii="標楷體" w:eastAsia="標楷體" w:hAnsi="標楷體"/>
          <w:color w:val="000000"/>
        </w:rPr>
      </w:pPr>
      <w:r>
        <w:rPr>
          <w:rFonts w:ascii="標楷體" w:eastAsia="標楷體" w:hAnsi="標楷體"/>
          <w:color w:val="000000"/>
        </w:rPr>
        <w:t>本保險單之記載如有與原約定不符者，請即通知本公司更改之。</w:t>
      </w:r>
    </w:p>
    <w:p w:rsidR="006A2CE6" w:rsidRDefault="006A2CE6">
      <w:pPr>
        <w:jc w:val="both"/>
        <w:rPr>
          <w:rFonts w:ascii="標楷體" w:eastAsia="標楷體" w:hAnsi="標楷體"/>
          <w:color w:val="000000"/>
        </w:rPr>
      </w:pPr>
    </w:p>
    <w:p w:rsidR="006A2CE6" w:rsidRDefault="006A2CE6">
      <w:pPr>
        <w:jc w:val="both"/>
        <w:rPr>
          <w:rFonts w:ascii="標楷體" w:eastAsia="標楷體" w:hAnsi="標楷體"/>
          <w:color w:val="000000"/>
        </w:rPr>
      </w:pPr>
    </w:p>
    <w:p w:rsidR="006A2CE6" w:rsidRDefault="006A2CE6">
      <w:pPr>
        <w:jc w:val="both"/>
        <w:rPr>
          <w:rFonts w:ascii="標楷體" w:eastAsia="標楷體" w:hAnsi="標楷體"/>
          <w:color w:val="000000"/>
        </w:rPr>
      </w:pPr>
    </w:p>
    <w:p w:rsidR="006A2CE6" w:rsidRDefault="006A2CE6">
      <w:pPr>
        <w:jc w:val="both"/>
        <w:rPr>
          <w:rFonts w:ascii="標楷體" w:eastAsia="標楷體" w:hAnsi="標楷體"/>
          <w:color w:val="000000"/>
        </w:rPr>
      </w:pPr>
    </w:p>
    <w:p w:rsidR="003D01CA" w:rsidRDefault="003D01CA">
      <w:pPr>
        <w:jc w:val="both"/>
        <w:rPr>
          <w:rFonts w:ascii="標楷體" w:eastAsia="標楷體" w:hAnsi="標楷體"/>
          <w:color w:val="000000"/>
        </w:rPr>
      </w:pPr>
    </w:p>
    <w:p w:rsidR="003D01CA" w:rsidRDefault="003D01CA">
      <w:pPr>
        <w:jc w:val="both"/>
        <w:rPr>
          <w:rFonts w:ascii="標楷體" w:eastAsia="標楷體" w:hAnsi="標楷體"/>
          <w:color w:val="000000"/>
        </w:rPr>
      </w:pPr>
    </w:p>
    <w:p w:rsidR="003D01CA" w:rsidRDefault="003D01CA">
      <w:pPr>
        <w:jc w:val="both"/>
        <w:rPr>
          <w:rFonts w:ascii="標楷體" w:eastAsia="標楷體" w:hAnsi="標楷體"/>
          <w:color w:val="000000"/>
        </w:rPr>
      </w:pPr>
    </w:p>
    <w:p w:rsidR="006A2CE6" w:rsidRDefault="001E0846">
      <w:pPr>
        <w:jc w:val="both"/>
        <w:rPr>
          <w:rFonts w:ascii="標楷體" w:eastAsia="標楷體" w:hAnsi="標楷體"/>
          <w:color w:val="000000"/>
        </w:rPr>
      </w:pPr>
      <w:r>
        <w:rPr>
          <w:rFonts w:ascii="標楷體" w:eastAsia="標楷體" w:hAnsi="標楷體"/>
          <w:color w:val="000000"/>
        </w:rPr>
        <w:t>中華民國         年           月             日立于</w:t>
      </w:r>
    </w:p>
    <w:p w:rsidR="006A2CE6" w:rsidRDefault="001E0846">
      <w:pPr>
        <w:pageBreakBefore/>
        <w:jc w:val="center"/>
      </w:pPr>
      <w:r>
        <w:rPr>
          <w:rFonts w:ascii="標楷體" w:eastAsia="標楷體" w:hAnsi="標楷體"/>
          <w:b/>
          <w:color w:val="000000"/>
          <w:sz w:val="28"/>
        </w:rPr>
        <w:lastRenderedPageBreak/>
        <w:t>押標金連帶保證保險單條款</w:t>
      </w:r>
    </w:p>
    <w:p w:rsidR="006A2CE6" w:rsidRDefault="001E0846">
      <w:pPr>
        <w:snapToGrid w:val="0"/>
        <w:spacing w:before="90" w:line="240" w:lineRule="atLeast"/>
        <w:jc w:val="both"/>
      </w:pPr>
      <w:r>
        <w:rPr>
          <w:rFonts w:ascii="標楷體" w:eastAsia="標楷體" w:hAnsi="標楷體"/>
          <w:color w:val="000000"/>
          <w:sz w:val="28"/>
        </w:rPr>
        <w:t>第一條：承保範圍</w:t>
      </w:r>
    </w:p>
    <w:p w:rsidR="006A2CE6" w:rsidRDefault="001E0846">
      <w:pPr>
        <w:spacing w:before="90"/>
        <w:jc w:val="both"/>
        <w:rPr>
          <w:rFonts w:ascii="標楷體" w:eastAsia="標楷體" w:hAnsi="標楷體"/>
        </w:rPr>
      </w:pPr>
      <w:r>
        <w:rPr>
          <w:rFonts w:ascii="標楷體" w:eastAsia="標楷體" w:hAnsi="標楷體"/>
        </w:rPr>
        <w:t>投標人於保險期間內，參加本保險單所載使用案之投標，其押標金係以本保險單為之者，被保險人依招標文件之規定，有不發還押標金之情形時，本公司依本保險單之約定對被保險人負給付保險金額之責。</w:t>
      </w:r>
    </w:p>
    <w:p w:rsidR="006A2CE6" w:rsidRDefault="001E0846">
      <w:pPr>
        <w:snapToGrid w:val="0"/>
        <w:spacing w:before="90" w:line="240" w:lineRule="atLeast"/>
        <w:jc w:val="both"/>
        <w:rPr>
          <w:rFonts w:ascii="標楷體" w:eastAsia="標楷體" w:hAnsi="標楷體"/>
          <w:sz w:val="28"/>
        </w:rPr>
      </w:pPr>
      <w:r>
        <w:rPr>
          <w:rFonts w:ascii="標楷體" w:eastAsia="標楷體" w:hAnsi="標楷體"/>
          <w:sz w:val="28"/>
        </w:rPr>
        <w:t>第二條：不保事項</w:t>
      </w:r>
    </w:p>
    <w:p w:rsidR="006A2CE6" w:rsidRDefault="001E0846">
      <w:pPr>
        <w:numPr>
          <w:ilvl w:val="0"/>
          <w:numId w:val="2"/>
        </w:numPr>
        <w:spacing w:before="90"/>
        <w:rPr>
          <w:rFonts w:ascii="標楷體" w:eastAsia="標楷體" w:hAnsi="標楷體"/>
        </w:rPr>
      </w:pPr>
      <w:r>
        <w:rPr>
          <w:rFonts w:ascii="標楷體" w:eastAsia="標楷體" w:hAnsi="標楷體"/>
        </w:rPr>
        <w:t>投標人因下列事項未能簽訂使用案行政契約時，本公司不負給付責任：</w:t>
      </w:r>
    </w:p>
    <w:p w:rsidR="006A2CE6" w:rsidRDefault="001E0846">
      <w:pPr>
        <w:numPr>
          <w:ilvl w:val="0"/>
          <w:numId w:val="3"/>
        </w:numPr>
        <w:spacing w:before="90"/>
        <w:rPr>
          <w:rFonts w:ascii="標楷體" w:eastAsia="標楷體" w:hAnsi="標楷體"/>
        </w:rPr>
      </w:pPr>
      <w:r>
        <w:rPr>
          <w:rFonts w:ascii="標楷體" w:eastAsia="標楷體" w:hAnsi="標楷體"/>
        </w:rPr>
        <w:t>戰爭(不論宣戰與否)、類似戰爭行為、叛亂。</w:t>
      </w:r>
    </w:p>
    <w:p w:rsidR="006A2CE6" w:rsidRDefault="001E0846">
      <w:pPr>
        <w:numPr>
          <w:ilvl w:val="0"/>
          <w:numId w:val="3"/>
        </w:numPr>
        <w:spacing w:before="90"/>
        <w:rPr>
          <w:rFonts w:ascii="標楷體" w:eastAsia="標楷體" w:hAnsi="標楷體"/>
        </w:rPr>
      </w:pPr>
      <w:r>
        <w:rPr>
          <w:rFonts w:ascii="標楷體" w:eastAsia="標楷體" w:hAnsi="標楷體"/>
        </w:rPr>
        <w:t>核子反應、核子輻射或放射性污染。</w:t>
      </w:r>
    </w:p>
    <w:p w:rsidR="006A2CE6" w:rsidRDefault="001E0846">
      <w:pPr>
        <w:numPr>
          <w:ilvl w:val="0"/>
          <w:numId w:val="3"/>
        </w:numPr>
        <w:spacing w:before="90"/>
        <w:rPr>
          <w:rFonts w:ascii="標楷體" w:eastAsia="標楷體" w:hAnsi="標楷體"/>
        </w:rPr>
      </w:pPr>
      <w:r>
        <w:rPr>
          <w:rFonts w:ascii="標楷體" w:eastAsia="標楷體" w:hAnsi="標楷體"/>
        </w:rPr>
        <w:t>可歸責於被保險人之事由。</w:t>
      </w:r>
    </w:p>
    <w:p w:rsidR="006A2CE6" w:rsidRDefault="001E0846">
      <w:pPr>
        <w:numPr>
          <w:ilvl w:val="0"/>
          <w:numId w:val="2"/>
        </w:numPr>
        <w:spacing w:before="90"/>
        <w:rPr>
          <w:rFonts w:ascii="標楷體" w:eastAsia="標楷體" w:hAnsi="標楷體"/>
        </w:rPr>
      </w:pPr>
      <w:r>
        <w:rPr>
          <w:rFonts w:ascii="標楷體" w:eastAsia="標楷體" w:hAnsi="標楷體"/>
        </w:rPr>
        <w:t>本公司對下列損失及費用不負賠償責任：</w:t>
      </w:r>
    </w:p>
    <w:p w:rsidR="006A2CE6" w:rsidRDefault="001E0846">
      <w:pPr>
        <w:pStyle w:val="2"/>
        <w:spacing w:before="90"/>
        <w:rPr>
          <w:rFonts w:ascii="標楷體" w:eastAsia="標楷體" w:hAnsi="標楷體"/>
        </w:rPr>
      </w:pPr>
      <w:r>
        <w:rPr>
          <w:rFonts w:ascii="標楷體" w:eastAsia="標楷體" w:hAnsi="標楷體"/>
        </w:rPr>
        <w:t>投標人不簽訂使用案行政契約所致利息、租金或預期利潤之損失，及重新招標、催告履行或訴訟之有關費用。</w:t>
      </w:r>
    </w:p>
    <w:p w:rsidR="006A2CE6" w:rsidRDefault="001E0846">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第三條：保險期間</w:t>
      </w:r>
    </w:p>
    <w:p w:rsidR="006A2CE6" w:rsidRDefault="001E0846">
      <w:pPr>
        <w:spacing w:before="90"/>
        <w:rPr>
          <w:rFonts w:ascii="標楷體" w:eastAsia="標楷體" w:hAnsi="標楷體"/>
          <w:color w:val="000000"/>
        </w:rPr>
      </w:pPr>
      <w:r>
        <w:rPr>
          <w:rFonts w:ascii="標楷體" w:eastAsia="標楷體" w:hAnsi="標楷體"/>
          <w:color w:val="000000"/>
        </w:rPr>
        <w:t>保險單之保險期間為自本保險單簽發之日起至投標人得標後依規定繳妥履約保證金之日或被保險人書面通知解除保證責任之日止。以兩日中先屆期者為準。</w:t>
      </w:r>
    </w:p>
    <w:p w:rsidR="006A2CE6" w:rsidRDefault="001E0846">
      <w:pPr>
        <w:spacing w:before="90"/>
        <w:rPr>
          <w:rFonts w:ascii="標楷體" w:eastAsia="標楷體" w:hAnsi="標楷體"/>
          <w:color w:val="000000"/>
        </w:rPr>
      </w:pPr>
      <w:r>
        <w:rPr>
          <w:rFonts w:ascii="標楷體" w:eastAsia="標楷體" w:hAnsi="標楷體"/>
          <w:color w:val="000000"/>
        </w:rPr>
        <w:t>於保險期間內，非經被保險人同意本公司不得逕行終止本保險單。</w:t>
      </w:r>
    </w:p>
    <w:p w:rsidR="006A2CE6" w:rsidRDefault="001E0846">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第四條：給付事項</w:t>
      </w:r>
    </w:p>
    <w:p w:rsidR="006A2CE6" w:rsidRDefault="001E0846">
      <w:pPr>
        <w:spacing w:before="90"/>
        <w:rPr>
          <w:rFonts w:ascii="標楷體" w:eastAsia="標楷體" w:hAnsi="標楷體"/>
          <w:color w:val="000000"/>
        </w:rPr>
      </w:pPr>
      <w:r>
        <w:rPr>
          <w:rFonts w:ascii="標楷體" w:eastAsia="標楷體" w:hAnsi="標楷體"/>
          <w:color w:val="000000"/>
        </w:rPr>
        <w:t>被保險人於有依招標文件規定不發還投標人押標金之情形時，被保險人應立即以書面通知本公司，載明依招標文件規定不發還押標金之情形，並檢具給付請求書向本公司請求給付。</w:t>
      </w:r>
    </w:p>
    <w:p w:rsidR="006A2CE6" w:rsidRDefault="001E0846">
      <w:pPr>
        <w:spacing w:before="90"/>
        <w:jc w:val="both"/>
        <w:rPr>
          <w:rFonts w:ascii="標楷體" w:eastAsia="標楷體" w:hAnsi="標楷體"/>
          <w:color w:val="000000"/>
        </w:rPr>
      </w:pPr>
      <w:r>
        <w:rPr>
          <w:rFonts w:ascii="標楷體" w:eastAsia="標楷體" w:hAnsi="標楷體"/>
          <w:color w:val="000000"/>
        </w:rPr>
        <w:t>本公司應於收到請求給付通知15日內依本保險單所載保險金額給付。</w:t>
      </w:r>
    </w:p>
    <w:p w:rsidR="006A2CE6" w:rsidRDefault="001E0846">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第五條：協助追償</w:t>
      </w:r>
    </w:p>
    <w:p w:rsidR="006A2CE6" w:rsidRDefault="001E0846">
      <w:pPr>
        <w:spacing w:before="90"/>
        <w:jc w:val="both"/>
        <w:rPr>
          <w:rFonts w:ascii="標楷體" w:eastAsia="標楷體" w:hAnsi="標楷體"/>
          <w:color w:val="000000"/>
        </w:rPr>
      </w:pPr>
      <w:r>
        <w:rPr>
          <w:rFonts w:ascii="標楷體" w:eastAsia="標楷體" w:hAnsi="標楷體"/>
          <w:color w:val="000000"/>
        </w:rPr>
        <w:t>本公司於履行給付責任後，向投標人追償時，被保險人對本公司為行使該項權利之必要行為，應予協助，其所需費用由本公司負擔。</w:t>
      </w:r>
    </w:p>
    <w:p w:rsidR="006A2CE6" w:rsidRDefault="001E0846">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第六條：第1審管轄法院</w:t>
      </w:r>
    </w:p>
    <w:p w:rsidR="006A2CE6" w:rsidRDefault="001E0846">
      <w:pPr>
        <w:spacing w:before="90"/>
        <w:jc w:val="both"/>
        <w:rPr>
          <w:rFonts w:ascii="標楷體" w:eastAsia="標楷體" w:hAnsi="標楷體"/>
          <w:color w:val="000000"/>
        </w:rPr>
      </w:pPr>
      <w:r>
        <w:rPr>
          <w:rFonts w:ascii="標楷體" w:eastAsia="標楷體" w:hAnsi="標楷體"/>
          <w:color w:val="000000"/>
        </w:rPr>
        <w:t>倘因本保險而涉訟時，本公司同意以本保險單所載被保險人住所所在地之地方法院為第1審管</w:t>
      </w:r>
      <w:r>
        <w:rPr>
          <w:rFonts w:ascii="標楷體" w:eastAsia="標楷體" w:hAnsi="標楷體"/>
          <w:color w:val="000000"/>
        </w:rPr>
        <w:lastRenderedPageBreak/>
        <w:t>轄法院。</w:t>
      </w:r>
    </w:p>
    <w:p w:rsidR="006A2CE6" w:rsidRDefault="001E0846">
      <w:pPr>
        <w:snapToGrid w:val="0"/>
        <w:spacing w:before="90" w:line="240" w:lineRule="atLeast"/>
        <w:jc w:val="both"/>
      </w:pPr>
      <w:r>
        <w:rPr>
          <w:rFonts w:ascii="標楷體" w:eastAsia="標楷體" w:hAnsi="標楷體"/>
          <w:color w:val="000000"/>
          <w:sz w:val="28"/>
        </w:rPr>
        <w:t>第七條：</w:t>
      </w:r>
      <w:r>
        <w:rPr>
          <w:rFonts w:ascii="標楷體" w:eastAsia="標楷體" w:hAnsi="標楷體"/>
          <w:color w:val="000000"/>
        </w:rPr>
        <w:t>招標文件之變更</w:t>
      </w:r>
    </w:p>
    <w:p w:rsidR="006A2CE6" w:rsidRDefault="001E0846">
      <w:pPr>
        <w:snapToGrid w:val="0"/>
        <w:spacing w:before="90" w:line="240" w:lineRule="atLeast"/>
        <w:jc w:val="both"/>
      </w:pPr>
      <w:r>
        <w:rPr>
          <w:rFonts w:ascii="標楷體" w:eastAsia="標楷體" w:hAnsi="標楷體"/>
          <w:color w:val="000000"/>
        </w:rPr>
        <w:t>招標文件如有變更時，本公司之保證責任以變更後者為準。</w:t>
      </w:r>
    </w:p>
    <w:p w:rsidR="006A2CE6" w:rsidRDefault="001E0846">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第八條：其他事項</w:t>
      </w:r>
    </w:p>
    <w:p w:rsidR="006A2CE6" w:rsidRDefault="001E0846">
      <w:pPr>
        <w:numPr>
          <w:ilvl w:val="0"/>
          <w:numId w:val="4"/>
        </w:numPr>
        <w:spacing w:before="90"/>
        <w:jc w:val="both"/>
        <w:rPr>
          <w:rFonts w:ascii="標楷體" w:eastAsia="標楷體" w:hAnsi="標楷體"/>
          <w:color w:val="000000"/>
        </w:rPr>
      </w:pPr>
      <w:r>
        <w:rPr>
          <w:rFonts w:ascii="標楷體" w:eastAsia="標楷體" w:hAnsi="標楷體"/>
          <w:color w:val="000000"/>
        </w:rPr>
        <w:t>本保險單之批單、批註暨招標文件之規定均為本保險契約之一部分。</w:t>
      </w:r>
    </w:p>
    <w:p w:rsidR="006A2CE6" w:rsidRDefault="001E0846">
      <w:pPr>
        <w:numPr>
          <w:ilvl w:val="0"/>
          <w:numId w:val="4"/>
        </w:numPr>
        <w:spacing w:before="90"/>
        <w:jc w:val="both"/>
        <w:rPr>
          <w:rFonts w:ascii="標楷體" w:eastAsia="標楷體" w:hAnsi="標楷體"/>
          <w:color w:val="000000"/>
        </w:rPr>
      </w:pPr>
      <w:r>
        <w:rPr>
          <w:rFonts w:ascii="標楷體" w:eastAsia="標楷體" w:hAnsi="標楷體"/>
          <w:color w:val="000000"/>
        </w:rPr>
        <w:t>本保險單之任何變更，需經本公司簽批始生效力。但招標文件之變更，不在此限。</w:t>
      </w:r>
    </w:p>
    <w:p w:rsidR="006A2CE6" w:rsidRDefault="001E0846">
      <w:pPr>
        <w:numPr>
          <w:ilvl w:val="0"/>
          <w:numId w:val="4"/>
        </w:numPr>
        <w:spacing w:before="90"/>
        <w:jc w:val="both"/>
      </w:pPr>
      <w:r>
        <w:rPr>
          <w:rFonts w:ascii="標楷體" w:eastAsia="標楷體" w:hAnsi="標楷體"/>
          <w:color w:val="000000"/>
        </w:rPr>
        <w:t>本保險單未規定事項，悉依照保險法及其他有關法令辦理。</w:t>
      </w:r>
    </w:p>
    <w:sectPr w:rsidR="006A2CE6">
      <w:headerReference w:type="default" r:id="rId7"/>
      <w:footerReference w:type="default" r:id="rId8"/>
      <w:pgSz w:w="11906" w:h="16838"/>
      <w:pgMar w:top="1134" w:right="924" w:bottom="1134" w:left="1259" w:header="851" w:footer="992" w:gutter="0"/>
      <w:cols w:space="720"/>
      <w:docGrid w:type="lines" w:linePitch="5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DDA" w:rsidRDefault="00150DDA">
      <w:r>
        <w:separator/>
      </w:r>
    </w:p>
  </w:endnote>
  <w:endnote w:type="continuationSeparator" w:id="0">
    <w:p w:rsidR="00150DDA" w:rsidRDefault="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C5" w:rsidRDefault="001E0846">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5364C5" w:rsidRDefault="001E0846">
                          <w:pPr>
                            <w:pStyle w:val="a3"/>
                          </w:pPr>
                          <w:r>
                            <w:rPr>
                              <w:rStyle w:val="a4"/>
                            </w:rPr>
                            <w:fldChar w:fldCharType="begin"/>
                          </w:r>
                          <w:r>
                            <w:rPr>
                              <w:rStyle w:val="a4"/>
                            </w:rPr>
                            <w:instrText xml:space="preserve"> PAGE </w:instrText>
                          </w:r>
                          <w:r>
                            <w:rPr>
                              <w:rStyle w:val="a4"/>
                            </w:rPr>
                            <w:fldChar w:fldCharType="separate"/>
                          </w:r>
                          <w:r w:rsidR="006A7764">
                            <w:rPr>
                              <w:rStyle w:val="a4"/>
                              <w:noProof/>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6.15pt;margin-top:.05pt;width:5.05pt;height:11.4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rsidR="005364C5" w:rsidRDefault="001E0846">
                    <w:pPr>
                      <w:pStyle w:val="a3"/>
                    </w:pPr>
                    <w:r>
                      <w:rPr>
                        <w:rStyle w:val="a4"/>
                      </w:rPr>
                      <w:fldChar w:fldCharType="begin"/>
                    </w:r>
                    <w:r>
                      <w:rPr>
                        <w:rStyle w:val="a4"/>
                      </w:rPr>
                      <w:instrText xml:space="preserve"> PAGE </w:instrText>
                    </w:r>
                    <w:r>
                      <w:rPr>
                        <w:rStyle w:val="a4"/>
                      </w:rPr>
                      <w:fldChar w:fldCharType="separate"/>
                    </w:r>
                    <w:r w:rsidR="006A7764">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DDA" w:rsidRDefault="00150DDA">
      <w:r>
        <w:rPr>
          <w:color w:val="000000"/>
        </w:rPr>
        <w:separator/>
      </w:r>
    </w:p>
  </w:footnote>
  <w:footnote w:type="continuationSeparator" w:id="0">
    <w:p w:rsidR="00150DDA" w:rsidRDefault="00150D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C5" w:rsidRDefault="00150DDA">
    <w:pPr>
      <w:pStyle w:val="a5"/>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95C"/>
    <w:multiLevelType w:val="multilevel"/>
    <w:tmpl w:val="0F1CE8AE"/>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9BF6807"/>
    <w:multiLevelType w:val="multilevel"/>
    <w:tmpl w:val="1F4E7872"/>
    <w:lvl w:ilvl="0">
      <w:start w:val="1"/>
      <w:numFmt w:val="decimal"/>
      <w:lvlText w:val="%1."/>
      <w:lvlJc w:val="left"/>
      <w:pPr>
        <w:ind w:left="72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0775F3A"/>
    <w:multiLevelType w:val="multilevel"/>
    <w:tmpl w:val="057CE714"/>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312379F"/>
    <w:multiLevelType w:val="multilevel"/>
    <w:tmpl w:val="3634BC7A"/>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A2CE6"/>
    <w:rsid w:val="00083837"/>
    <w:rsid w:val="00150DDA"/>
    <w:rsid w:val="001E0846"/>
    <w:rsid w:val="003615D9"/>
    <w:rsid w:val="003D01CA"/>
    <w:rsid w:val="00491D65"/>
    <w:rsid w:val="004B45D7"/>
    <w:rsid w:val="005B369A"/>
    <w:rsid w:val="00674244"/>
    <w:rsid w:val="00685ABD"/>
    <w:rsid w:val="006A2CE6"/>
    <w:rsid w:val="006A7764"/>
    <w:rsid w:val="0089710F"/>
    <w:rsid w:val="009967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DB8F"/>
  <w15:docId w15:val="{509E6B13-6E08-4485-B61E-887C37DE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360"/>
      <w:jc w:val="both"/>
    </w:pPr>
    <w:rPr>
      <w:rFonts w:ascii="全真楷書" w:eastAsia="全真楷書" w:hAnsi="全真楷書"/>
      <w:szCs w:val="2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押標金連帶保證保險單</dc:title>
  <dc:creator>Vivian Hsieh</dc:creator>
  <cp:lastModifiedBy>mlsh</cp:lastModifiedBy>
  <cp:revision>6</cp:revision>
  <cp:lastPrinted>2018-03-12T07:24:00Z</cp:lastPrinted>
  <dcterms:created xsi:type="dcterms:W3CDTF">2022-04-29T18:02:00Z</dcterms:created>
  <dcterms:modified xsi:type="dcterms:W3CDTF">2023-03-24T00:37:00Z</dcterms:modified>
</cp:coreProperties>
</file>